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Expanded Vision &amp; Transformative Manifesto</w:t>
      </w:r>
    </w:p>
    <w:p>
      <w:r>
        <w:t>Jeevansarthi — Co-evolution Operating System</w:t>
      </w:r>
    </w:p>
    <w:p>
      <w:r>
        <w:t>APPROVED STRATEGIC BASELINE v0.2  |  21 October 2026  |  Living document; implementation subject to governance</w:t>
      </w:r>
    </w:p>
    <w:p>
      <w:r>
        <w:t>Purpose: consolidate the agreed expanded vision, transformative commitments and integrated value proposition into a strategic baseline for system-building. This is a living strategic document, not a legal charter or proof of achieved impact.</w:t>
      </w:r>
    </w:p>
    <w:p>
      <w:pPr>
        <w:pStyle w:val="Heading1"/>
      </w:pPr>
      <w:r>
        <w:rPr>
          <w:color w:val="113051"/>
        </w:rPr>
        <w:t>At a glance</w:t>
      </w:r>
    </w:p>
    <w:p>
      <w:pPr>
        <w:pStyle w:val="ListBullet"/>
      </w:pPr>
      <w:r>
        <w:t>Massive Transformative Purpose (MTP): Holistic Regenerative Co-evolution for a Transformed Next Normal.</w:t>
      </w:r>
    </w:p>
    <w:p>
      <w:pPr>
        <w:pStyle w:val="ListBullet"/>
      </w:pPr>
      <w:r>
        <w:t>Participation focus: manifesto-aligned transformative narratives, initiatives and services—not governance of every activity of a participating organisation.</w:t>
      </w:r>
    </w:p>
    <w:p>
      <w:pPr>
        <w:pStyle w:val="ListBullet"/>
      </w:pPr>
      <w:r>
        <w:t>Habitat–initiative reciprocity: habitats nurture existing initiatives, inspire new ones and evolve through initiative learning.</w:t>
      </w:r>
    </w:p>
    <w:p>
      <w:pPr>
        <w:pStyle w:val="ListBullet"/>
      </w:pPr>
      <w:r>
        <w:t>Three transformation perspectives: timeless, contextual and visionary; applicable across people, relationships, institutions and ecosystems.</w:t>
      </w:r>
    </w:p>
    <w:p>
      <w:pPr>
        <w:pStyle w:val="ListBullet"/>
      </w:pPr>
      <w:r>
        <w:t>Shared intelligence and orchestration through Jeevansarthi; independent action and accountability through appropriately authorised participants.</w:t>
      </w:r>
    </w:p>
    <w:p>
      <w:pPr>
        <w:pStyle w:val="Heading1"/>
      </w:pPr>
      <w:r>
        <w:rPr>
          <w:color w:val="113051"/>
        </w:rPr>
        <w:t>PART I  |  EXPANDED VISION</w:t>
      </w:r>
    </w:p>
    <w:p>
      <w:pPr>
        <w:pStyle w:val="Heading2"/>
      </w:pPr>
      <w:r>
        <w:rPr>
          <w:color w:val="113051"/>
        </w:rPr>
        <w:t>1. Vision statement</w:t>
      </w:r>
    </w:p>
    <w:p>
      <w:r>
        <w:t>To catalyse holistic transformation and lifelong co-evolution of individuals, relationships, families, communities, organisations, institutions and interconnected ecosystems—enabling reflective wisdom, collective intelligence, independent agency and responsible stewardship to shape a transformed Next Normal.</w:t>
      </w:r>
    </w:p>
    <w:p>
      <w:r>
        <w:t>Jeevansarthi envisions a world in which enduring human needs and wisdom inform present choices, while visionary intelligence helps people and institutions recognise unarticulated needs, prepare for disruption and co-create more compassionate, capable, inclusive, regenerative futures. Participation is voluntary; diverse legitimate purposes and pathways remain respected.</w:t>
      </w:r>
    </w:p>
    <w:p>
      <w:pPr>
        <w:pStyle w:val="Heading2"/>
      </w:pPr>
      <w:r>
        <w:rPr>
          <w:color w:val="113051"/>
        </w:rPr>
        <w:t>2. Massive Transformative Purpose</w:t>
      </w:r>
    </w:p>
    <w:p>
      <w:r>
        <w:t>HOLISTIC REGENERATIVE CO-EVOLUTION FOR A TRANSFORMED NEXT NORMAL</w:t>
      </w:r>
    </w:p>
    <w:p>
      <w:r>
        <w:t>An accessible invitation: Evolve yourself. Enable others to evolve. Together, shape a better future.</w:t>
      </w:r>
    </w:p>
    <w:p>
      <w:r>
        <w:t>Regenerative means that an initiative not only addresses a present need but also helps renew the people, relationships, capabilities, resources and institutional conditions for future well-being and co-evolution. Regeneration may involve restoration, restraint, care and resilience—not merely expansion.</w:t>
      </w:r>
    </w:p>
    <w:p>
      <w:r>
        <w:t>Regenerative pathway: Reflect &amp; Understand → Commit &amp; Connect → Co-create &amp; Act → Learn &amp; Regenerate → renewed capacity to reflect, contribute and co-evolve.</w:t>
      </w:r>
    </w:p>
    <w:p>
      <w:r>
        <w:t>Personal evolution can become collective contribution through learning, care, mentoring, creative expression, collaboration, responsible enterprise and the sharing of validated knowledge. Participants may begin with immediate interests or needs and discover wider possibilities at their own pace.</w:t>
      </w:r>
    </w:p>
    <w:p>
      <w:pPr>
        <w:pStyle w:val="Heading2"/>
      </w:pPr>
      <w:r>
        <w:rPr>
          <w:color w:val="113051"/>
        </w:rPr>
        <w:t>2A. Five interconnected dimensions of the vision</w:t>
      </w:r>
    </w:p>
    <w:p>
      <w:pPr>
        <w:pStyle w:val="ListBullet"/>
      </w:pPr>
      <w:r>
        <w:t>Philosophical &amp; civilisational: Timeless wisdom, reflective consciousness, ethical discernment, human flourishing and visionary responsibility across generations.</w:t>
      </w:r>
    </w:p>
    <w:p>
      <w:pPr>
        <w:pStyle w:val="ListBullet"/>
      </w:pPr>
      <w:r>
        <w:t>Human &amp; collective intelligence: Contextual, emotional and reflective intelligence, mentoring, inclusive participation, shared learning and accountable human–AI collaboration.</w:t>
      </w:r>
    </w:p>
    <w:p>
      <w:pPr>
        <w:pStyle w:val="ListBullet"/>
      </w:pPr>
      <w:r>
        <w:t>Ecosystem transformation: Reciprocal evolution of people, relationships, initiatives, narratives, institutions and habitats; nurturing existing initiatives and inspiring new ones.</w:t>
      </w:r>
    </w:p>
    <w:p>
      <w:pPr>
        <w:pStyle w:val="ListBullet"/>
      </w:pPr>
      <w:r>
        <w:t>Technological &amp; institutional: A reusable Co-evolution Kernel, interoperable collective intelligence, proportionate governance, contestable authority and decentralised agency.</w:t>
      </w:r>
    </w:p>
    <w:p>
      <w:pPr>
        <w:pStyle w:val="ListBullet"/>
      </w:pPr>
      <w:r>
        <w:t>Societal impact &amp; stewardship: Well-being, equitable opportunity, resilience, regenerative capability, responsible resource use and intergenerational stewardship.</w:t>
      </w:r>
    </w:p>
    <w:p>
      <w:pPr>
        <w:pStyle w:val="Heading2"/>
      </w:pPr>
      <w:r>
        <w:rPr>
          <w:color w:val="113051"/>
        </w:rPr>
        <w:t>3. Three complementary perspectives on transformation</w:t>
      </w:r>
    </w:p>
    <w:tbl>
      <w:tblPr>
        <w:tblStyle w:val="LightShading-Accent1"/>
        <w:tblW w:type="auto" w:w="0"/>
        <w:jc w:val="center"/>
        <w:tblLook w:firstColumn="1" w:firstRow="1" w:lastColumn="0" w:lastRow="0" w:noHBand="0" w:noVBand="1" w:val="04A0"/>
      </w:tblPr>
      <w:tblGrid>
        <w:gridCol w:w="3264"/>
        <w:gridCol w:w="3264"/>
        <w:gridCol w:w="3264"/>
      </w:tblGrid>
      <w:tr>
        <w:tc>
          <w:tcPr>
            <w:tcW w:type="dxa" w:w="3264"/>
            <w:vAlign w:val="center"/>
          </w:tcPr>
          <w:p>
            <w:r>
              <w:t>Perspective</w:t>
            </w:r>
          </w:p>
        </w:tc>
        <w:tc>
          <w:tcPr>
            <w:tcW w:type="dxa" w:w="3264"/>
            <w:vAlign w:val="center"/>
          </w:tcPr>
          <w:p>
            <w:r>
              <w:t>Developmental focus</w:t>
            </w:r>
          </w:p>
        </w:tc>
        <w:tc>
          <w:tcPr>
            <w:tcW w:type="dxa" w:w="3264"/>
            <w:vAlign w:val="center"/>
          </w:tcPr>
          <w:p>
            <w:r>
              <w:t>Illustration</w:t>
            </w:r>
          </w:p>
        </w:tc>
      </w:tr>
      <w:tr>
        <w:tc>
          <w:tcPr>
            <w:tcW w:type="dxa" w:w="3264"/>
            <w:vAlign w:val="center"/>
          </w:tcPr>
          <w:p>
            <w:r>
              <w:t>Timeless</w:t>
            </w:r>
          </w:p>
        </w:tc>
        <w:tc>
          <w:tcPr>
            <w:tcW w:type="dxa" w:w="3264"/>
            <w:vAlign w:val="center"/>
          </w:tcPr>
          <w:p>
            <w:r>
              <w:t>Integrate natural capacities with causal understanding, compassion, discernment and wisdom.</w:t>
            </w:r>
          </w:p>
        </w:tc>
        <w:tc>
          <w:tcPr>
            <w:tcW w:type="dxa" w:w="3264"/>
            <w:vAlign w:val="center"/>
          </w:tcPr>
          <w:p>
            <w:r>
              <w:t>From hunger, rest, love and play to lifelong understanding of health, relationships and well-being.</w:t>
            </w:r>
          </w:p>
        </w:tc>
      </w:tr>
      <w:tr>
        <w:tc>
          <w:tcPr>
            <w:tcW w:type="dxa" w:w="3264"/>
            <w:vAlign w:val="center"/>
          </w:tcPr>
          <w:p>
            <w:r>
              <w:t>Contextual</w:t>
            </w:r>
          </w:p>
        </w:tc>
        <w:tc>
          <w:tcPr>
            <w:tcW w:type="dxa" w:w="3264"/>
            <w:vAlign w:val="center"/>
          </w:tcPr>
          <w:p>
            <w:r>
              <w:t>Recognise current conditions, latent potential, barriers and interdependencies.</w:t>
            </w:r>
          </w:p>
        </w:tc>
        <w:tc>
          <w:tcPr>
            <w:tcW w:type="dxa" w:w="3264"/>
            <w:vAlign w:val="center"/>
          </w:tcPr>
          <w:p>
            <w:r>
              <w:t>A mentor, learner and organisation evolve together to remove a capability bottleneck.</w:t>
            </w:r>
          </w:p>
        </w:tc>
      </w:tr>
      <w:tr>
        <w:tc>
          <w:tcPr>
            <w:tcW w:type="dxa" w:w="3264"/>
            <w:vAlign w:val="center"/>
          </w:tcPr>
          <w:p>
            <w:r>
              <w:t>Visionary</w:t>
            </w:r>
          </w:p>
        </w:tc>
        <w:tc>
          <w:tcPr>
            <w:tcW w:type="dxa" w:w="3264"/>
            <w:vAlign w:val="center"/>
          </w:tcPr>
          <w:p>
            <w:r>
              <w:t>Look beyond subjective and situational frames to emerging needs, disruption and future readiness.</w:t>
            </w:r>
          </w:p>
        </w:tc>
        <w:tc>
          <w:tcPr>
            <w:tcW w:type="dxa" w:w="3264"/>
            <w:vAlign w:val="center"/>
          </w:tcPr>
          <w:p>
            <w:r>
              <w:t>A learning habitat anticipates how AI changes work, assessment and lifelong capabilities.</w:t>
            </w:r>
          </w:p>
        </w:tc>
      </w:tr>
    </w:tbl>
    <w:p/>
    <w:p>
      <w:r>
        <w:t>These perspectives are complementary, not mandatory stages or a single hierarchy of human worth. They apply to individuals, families, communities, institutions and ecosystems.</w:t>
      </w:r>
    </w:p>
    <w:p>
      <w:pPr>
        <w:pStyle w:val="Heading2"/>
      </w:pPr>
      <w:r>
        <w:rPr>
          <w:color w:val="113051"/>
        </w:rPr>
        <w:t>4. Jeevansarthi’s role and institutional boundary</w:t>
      </w:r>
    </w:p>
    <w:p>
      <w:r>
        <w:t>Jeevansarthi is proposed as a shared collective-intelligence and co-evolution orchestration service for a voluntary network of manifesto-aligned transformative activities. It can connect knowledge, identify interdependencies, support reflection and navigation, coordinate authorised agentic tasks, and diffuse validated learning. Direct initiative operations, transactions, asset ownership and commercial obligations can reside with separate authorised entities.</w:t>
      </w:r>
    </w:p>
    <w:p>
      <w:r>
        <w:t>A participating organisation need not align every one of its activities to the manifesto; the network supports only qualifying transformative narratives, initiatives and services. Separate integrity, safety, data and participation requirements still apply. The manifesto does not erase legal responsibilities or Jeevansarthi’s accountability for services it controls.</w:t>
      </w:r>
    </w:p>
    <w:p>
      <w:pPr>
        <w:pStyle w:val="Heading2"/>
      </w:pPr>
      <w:r>
        <w:rPr>
          <w:color w:val="113051"/>
        </w:rPr>
        <w:t>Integrated value proposition — synthesis of three co-evolution pathways</w:t>
      </w:r>
    </w:p>
    <w:p>
      <w:pPr/>
      <w:r>
        <w:t>SHARED MTP → Shared Transformative Manifesto → Jeevansarthi Collective Intelligence &amp; Co-evolution Kernel</w:t>
      </w:r>
    </w:p>
    <w:p>
      <w:pPr/>
      <w:r>
        <w:t>FOUR INITIAL HABITATS: Mind &amp; Well-being | Learning | Business | Creator &amp; Narrative</w:t>
      </w:r>
    </w:p>
    <w:p>
      <w:pPr/>
      <w:r>
        <w:t>HABITAT–INITIATIVE RECIPROCITY: Nurture existing initiatives | Inspire emerging and new initiatives | Enable habitat-wide programmes | Connect cross-habitat contributions</w:t>
      </w:r>
    </w:p>
    <w:p>
      <w:pPr/>
      <w:r>
        <w:t>REGENERATIVE CYCLE: Reflect &amp; Understand → Commit &amp; Connect → Co-create &amp; Act → Learn &amp; Regenerate → Renewed capacity for further co-evolution</w:t>
      </w:r>
    </w:p>
    <w:p>
      <w:pPr/>
      <w:r>
        <w:t>INTENDED OUTCOME: Holistic human flourishing, collective wisdom, inclusive opportunity and responsible stewardship shaping a transformed Next Normal.</w:t>
      </w:r>
    </w:p>
    <w:p>
      <w:pPr/>
      <w:r>
        <w:t>Interpretation: These are interacting and recurring pathways, not a mandatory linear hierarchy. The cycle operates at individual, relationship, initiative, habitat and ecosystem levels. Shared intelligence does not confer central ownership of participant initiatives.</w:t>
      </w:r>
    </w:p>
    <w:p>
      <w:pPr>
        <w:pStyle w:val="Heading1"/>
      </w:pPr>
      <w:r>
        <w:rPr>
          <w:color w:val="113051"/>
        </w:rPr>
        <w:t>PART II  |  PROPOSED TRANSFORMATIVE MANIFESTO</w:t>
      </w:r>
    </w:p>
    <w:p>
      <w:pPr>
        <w:pStyle w:val="Heading2"/>
      </w:pPr>
      <w:r>
        <w:rPr>
          <w:color w:val="113051"/>
        </w:rPr>
        <w:t>5. Our shared commitments</w:t>
      </w:r>
    </w:p>
    <w:p>
      <w:pPr>
        <w:pStyle w:val="ListBullet"/>
      </w:pPr>
      <w:r>
        <w:t>We pursue holistic human flourishing and lifelong co-evolution without prescribing a uniform personal purpose or worldview.</w:t>
      </w:r>
    </w:p>
    <w:p>
      <w:pPr>
        <w:pStyle w:val="ListBullet"/>
      </w:pPr>
      <w:r>
        <w:t>We respect dignity, agency, informed choice, pluralism, privacy and legitimate rights.</w:t>
      </w:r>
    </w:p>
    <w:p>
      <w:pPr>
        <w:pStyle w:val="ListBullet"/>
      </w:pPr>
      <w:r>
        <w:t>We cultivate integrity of influence, reflective consciousness, emotional maturity, causal understanding and openness to correction.</w:t>
      </w:r>
    </w:p>
    <w:p>
      <w:pPr>
        <w:pStyle w:val="ListBullet"/>
      </w:pPr>
      <w:r>
        <w:t>We welcome constructive disagreement, evidence, uncertainty and independent discernment as foundations of collective wisdom.</w:t>
      </w:r>
    </w:p>
    <w:p>
      <w:pPr>
        <w:pStyle w:val="ListBullet"/>
      </w:pPr>
      <w:r>
        <w:t>We seek to overcome avoidable fragmentation and duplication through complementary collaboration, shared learning and responsible stewardship.</w:t>
      </w:r>
    </w:p>
    <w:p>
      <w:pPr>
        <w:pStyle w:val="ListBullet"/>
      </w:pPr>
      <w:r>
        <w:t>We value formal and informal contributions, including care, encouragement, mentoring, inspiration and seeds of future capability.</w:t>
      </w:r>
    </w:p>
    <w:p>
      <w:pPr>
        <w:pStyle w:val="ListBullet"/>
      </w:pPr>
      <w:r>
        <w:t>We explore enduring human needs, present conditions and possible futures, including unintended consequences.</w:t>
      </w:r>
    </w:p>
    <w:p>
      <w:pPr>
        <w:pStyle w:val="ListBullet"/>
      </w:pPr>
      <w:r>
        <w:t>We assess transformative intentions and outcomes honestly; we do not confuse aspiration, hypothesis, pilot evidence and validated impact.</w:t>
      </w:r>
    </w:p>
    <w:p>
      <w:pPr>
        <w:pStyle w:val="Heading2"/>
      </w:pPr>
      <w:r>
        <w:rPr>
          <w:color w:val="113051"/>
        </w:rPr>
        <w:t>5A. MTP-driven commitments and collaboration</w:t>
      </w:r>
    </w:p>
    <w:p>
      <w:r>
        <w:t>In a predominantly agenda-driven connection, a common purpose may be secondary to immediate individual or organisational objectives. In an MTP-aligned relationship, legitimate personal, cultural and commercial interests remain, but participants voluntarily undertake shared transformative commitments, disclose relevant conflicts, respect autonomy and evaluate wider consequences.</w:t>
      </w:r>
    </w:p>
    <w:p>
      <w:r>
        <w:t>Potential advantages to test: continuity beyond a transaction; complementary capabilities and reduced fragmentation; adaptive collective learning; distributed resilience; regenerative capability development; and transparent stewardship. These are hypotheses, not claims of demonstrated superiority over existing cooperatives, social enterprises, public-interest partnerships or other successful models.</w:t>
      </w:r>
    </w:p>
    <w:p>
      <w:r>
        <w:t>Safeguards: preserve dissent, pluralism, privacy, independent oversight and the right to exit; distinguish intentions from evidence and validated impact; do not infer inner motives or impose a uniform worldview.</w:t>
      </w:r>
    </w:p>
    <w:p>
      <w:pPr>
        <w:pStyle w:val="Heading2"/>
      </w:pPr>
      <w:r>
        <w:rPr>
          <w:color w:val="113051"/>
        </w:rPr>
        <w:t>6. Differentiated participation commitments</w:t>
      </w:r>
    </w:p>
    <w:tbl>
      <w:tblPr>
        <w:tblStyle w:val="LightShading-Accent1"/>
        <w:tblW w:type="auto" w:w="0"/>
        <w:jc w:val="center"/>
        <w:tblLook w:firstColumn="1" w:firstRow="1" w:lastColumn="0" w:lastRow="0" w:noHBand="0" w:noVBand="1" w:val="04A0"/>
      </w:tblPr>
      <w:tblGrid>
        <w:gridCol w:w="4896"/>
        <w:gridCol w:w="4896"/>
      </w:tblGrid>
      <w:tr>
        <w:tc>
          <w:tcPr>
            <w:tcW w:type="dxa" w:w="4896"/>
            <w:vAlign w:val="center"/>
          </w:tcPr>
          <w:p>
            <w:r>
              <w:t>Role</w:t>
            </w:r>
          </w:p>
        </w:tc>
        <w:tc>
          <w:tcPr>
            <w:tcW w:type="dxa" w:w="4896"/>
            <w:vAlign w:val="center"/>
          </w:tcPr>
          <w:p>
            <w:r>
              <w:t>Commitment</w:t>
            </w:r>
          </w:p>
        </w:tc>
      </w:tr>
      <w:tr>
        <w:tc>
          <w:tcPr>
            <w:tcW w:type="dxa" w:w="4896"/>
            <w:vAlign w:val="center"/>
          </w:tcPr>
          <w:p>
            <w:r>
              <w:t>Providers of transformative value</w:t>
            </w:r>
          </w:p>
        </w:tc>
        <w:tc>
          <w:tcPr>
            <w:tcW w:type="dxa" w:w="4896"/>
            <w:vAlign w:val="center"/>
          </w:tcPr>
          <w:p>
            <w:r>
              <w:t>Explicitly commit to the manifesto for network activities; act with integrity, responsible detachment from ego or undue vested interests, transparency about conflicts and respect for agency.</w:t>
            </w:r>
          </w:p>
        </w:tc>
      </w:tr>
      <w:tr>
        <w:tc>
          <w:tcPr>
            <w:tcW w:type="dxa" w:w="4896"/>
            <w:vAlign w:val="center"/>
          </w:tcPr>
          <w:p>
            <w:r>
              <w:t>Initiative and habitat leaders</w:t>
            </w:r>
          </w:p>
        </w:tc>
        <w:tc>
          <w:tcPr>
            <w:tcW w:type="dxa" w:w="4896"/>
            <w:vAlign w:val="center"/>
          </w:tcPr>
          <w:p>
            <w:r>
              <w:t>Explicitly commit to the manifesto and take responsibility for authorised operations, partnerships, outcomes and corrective action.</w:t>
            </w:r>
          </w:p>
        </w:tc>
      </w:tr>
      <w:tr>
        <w:tc>
          <w:tcPr>
            <w:tcW w:type="dxa" w:w="4896"/>
            <w:vAlign w:val="center"/>
          </w:tcPr>
          <w:p>
            <w:r>
              <w:t>Value receivers</w:t>
            </w:r>
          </w:p>
        </w:tc>
        <w:tc>
          <w:tcPr>
            <w:tcW w:type="dxa" w:w="4896"/>
            <w:vAlign w:val="center"/>
          </w:tcPr>
          <w:p>
            <w:r>
              <w:t>May enter through personally meaningful needs or interests; engage voluntarily and progressively with the manifesto’s principles. Receiving support does not require immediate ideological agreement or reciprocal contribution.</w:t>
            </w:r>
          </w:p>
        </w:tc>
      </w:tr>
      <w:tr>
        <w:tc>
          <w:tcPr>
            <w:tcW w:type="dxa" w:w="4896"/>
            <w:vAlign w:val="center"/>
          </w:tcPr>
          <w:p>
            <w:r>
              <w:t>Jeevansarthi</w:t>
            </w:r>
          </w:p>
        </w:tc>
        <w:tc>
          <w:tcPr>
            <w:tcW w:type="dxa" w:w="4896"/>
            <w:vAlign w:val="center"/>
          </w:tcPr>
          <w:p>
            <w:r>
              <w:t>Provide shared intelligence, contextual orchestration and governed tools; preserve privacy, permissions, provenance and clear accountability for its own conduct.</w:t>
            </w:r>
          </w:p>
        </w:tc>
      </w:tr>
    </w:tbl>
    <w:p/>
    <w:p>
      <w:r>
        <w:t>People may be providers and receivers simultaneously. “Responsible detachment” is an aspiration to avoid undue attachment to recognition or predetermined outcomes—not a demand to eliminate human emotions, legitimate needs or personal preferences.</w:t>
      </w:r>
    </w:p>
    <w:p>
      <w:pPr>
        <w:pStyle w:val="Heading2"/>
      </w:pPr>
      <w:r>
        <w:rPr>
          <w:color w:val="113051"/>
        </w:rPr>
        <w:t>7. Transformative value contributions</w:t>
      </w:r>
    </w:p>
    <w:tbl>
      <w:tblPr>
        <w:tblStyle w:val="LightShading-Accent1"/>
        <w:tblW w:type="auto" w:w="0"/>
        <w:jc w:val="center"/>
        <w:tblLook w:firstColumn="1" w:firstRow="1" w:lastColumn="0" w:lastRow="0" w:noHBand="0" w:noVBand="1" w:val="04A0"/>
      </w:tblPr>
      <w:tblGrid>
        <w:gridCol w:w="4896"/>
        <w:gridCol w:w="4896"/>
      </w:tblGrid>
      <w:tr>
        <w:tc>
          <w:tcPr>
            <w:tcW w:type="dxa" w:w="4896"/>
            <w:vAlign w:val="center"/>
          </w:tcPr>
          <w:p>
            <w:r>
              <w:t>Contributor category</w:t>
            </w:r>
          </w:p>
        </w:tc>
        <w:tc>
          <w:tcPr>
            <w:tcW w:type="dxa" w:w="4896"/>
            <w:vAlign w:val="center"/>
          </w:tcPr>
          <w:p>
            <w:r>
              <w:t>Network opportunity</w:t>
            </w:r>
          </w:p>
        </w:tc>
      </w:tr>
      <w:tr>
        <w:tc>
          <w:tcPr>
            <w:tcW w:type="dxa" w:w="4896"/>
            <w:vAlign w:val="center"/>
          </w:tcPr>
          <w:p>
            <w:r>
              <w:t>Narratives &amp; content</w:t>
            </w:r>
          </w:p>
        </w:tc>
        <w:tc>
          <w:tcPr>
            <w:tcW w:type="dxa" w:w="4896"/>
            <w:vAlign w:val="center"/>
          </w:tcPr>
          <w:p>
            <w:r>
              <w:t>Distil scattered material into coherent transformative narratives while preserving attribution, diverse perspectives and rights.</w:t>
            </w:r>
          </w:p>
        </w:tc>
      </w:tr>
      <w:tr>
        <w:tc>
          <w:tcPr>
            <w:tcW w:type="dxa" w:w="4896"/>
            <w:vAlign w:val="center"/>
          </w:tcPr>
          <w:p>
            <w:r>
              <w:t>Initiatives</w:t>
            </w:r>
          </w:p>
        </w:tc>
        <w:tc>
          <w:tcPr>
            <w:tcW w:type="dxa" w:w="4896"/>
            <w:vAlign w:val="center"/>
          </w:tcPr>
          <w:p>
            <w:r>
              <w:t>Bridge gaps, avoid reinvention, co-innovate and develop broader or regenerative impact.</w:t>
            </w:r>
          </w:p>
        </w:tc>
      </w:tr>
      <w:tr>
        <w:tc>
          <w:tcPr>
            <w:tcW w:type="dxa" w:w="4896"/>
            <w:vAlign w:val="center"/>
          </w:tcPr>
          <w:p>
            <w:r>
              <w:t>Technology &amp; enabling services</w:t>
            </w:r>
          </w:p>
        </w:tc>
        <w:tc>
          <w:tcPr>
            <w:tcW w:type="dxa" w:w="4896"/>
            <w:vAlign w:val="center"/>
          </w:tcPr>
          <w:p>
            <w:r>
              <w:t>Connect fragmented support into interoperable capabilities for transformation.</w:t>
            </w:r>
          </w:p>
        </w:tc>
      </w:tr>
      <w:tr>
        <w:tc>
          <w:tcPr>
            <w:tcW w:type="dxa" w:w="4896"/>
            <w:vAlign w:val="center"/>
          </w:tcPr>
          <w:p>
            <w:r>
              <w:t>Impact-first capital</w:t>
            </w:r>
          </w:p>
        </w:tc>
        <w:tc>
          <w:tcPr>
            <w:tcW w:type="dxa" w:w="4896"/>
            <w:vAlign w:val="center"/>
          </w:tcPr>
          <w:p>
            <w:r>
              <w:t>Enable responsible diligence, prudent policies and impact assessment through appropriately authorised financial actors.</w:t>
            </w:r>
          </w:p>
        </w:tc>
      </w:tr>
      <w:tr>
        <w:tc>
          <w:tcPr>
            <w:tcW w:type="dxa" w:w="4896"/>
            <w:vAlign w:val="center"/>
          </w:tcPr>
          <w:p>
            <w:r>
              <w:t>Informal &amp; intangible contributors</w:t>
            </w:r>
          </w:p>
        </w:tc>
        <w:tc>
          <w:tcPr>
            <w:tcW w:type="dxa" w:w="4896"/>
            <w:vAlign w:val="center"/>
          </w:tcPr>
          <w:p>
            <w:r>
              <w:t>Encourage well-being, compassionate presence, mentoring, inspiration and long-horizon capability building.</w:t>
            </w:r>
          </w:p>
        </w:tc>
      </w:tr>
      <w:tr>
        <w:tc>
          <w:tcPr>
            <w:tcW w:type="dxa" w:w="4896"/>
            <w:vAlign w:val="center"/>
          </w:tcPr>
          <w:p>
            <w:r>
              <w:t>Open knowledge &amp; licensing</w:t>
            </w:r>
          </w:p>
        </w:tc>
        <w:tc>
          <w:tcPr>
            <w:tcW w:type="dxa" w:w="4896"/>
            <w:vAlign w:val="center"/>
          </w:tcPr>
          <w:p>
            <w:r>
              <w:t>Promote permission-based diffusion, including suitable Creative Commons licensing where contributors choose and rights permit.</w:t>
            </w:r>
          </w:p>
        </w:tc>
      </w:tr>
    </w:tbl>
    <w:p/>
    <w:p>
      <w:pPr>
        <w:pStyle w:val="Heading2"/>
      </w:pPr>
      <w:r>
        <w:rPr>
          <w:color w:val="113051"/>
        </w:rPr>
        <w:t>7A. CSR, philanthropy and impact-first capital</w:t>
      </w:r>
    </w:p>
    <w:p>
      <w:r>
        <w:t>CSR initiatives, corporate foundations, philanthropic institutions and impact-first investors may contribute resources, professional expertise, technology, networks, infrastructure and long-term capability building. Their transformative value is strongest when social and business outcomes genuinely reinforce one another and initiatives leave enduring local capabilities.</w:t>
      </w:r>
    </w:p>
    <w:p>
      <w:r>
        <w:t>Funding, investments, CSR eligibility, accounting and regulatory obligations must remain with appropriately authorised and accountable entities. Participation does not guarantee impact or financial return; CSR contributions and commercial investments are distinct legal and operational categories.</w:t>
      </w:r>
    </w:p>
    <w:p>
      <w:pPr>
        <w:pStyle w:val="Heading2"/>
      </w:pPr>
      <w:r>
        <w:rPr>
          <w:color w:val="113051"/>
        </w:rPr>
        <w:t>8. From attraction to voluntary evolution</w:t>
      </w:r>
    </w:p>
    <w:p>
      <w:r>
        <w:t>Offer what is liked; transparently make available what may be needed. Begin with a relevant narrative, opportunity, service or experience; invite discovery of deeper needs, causal understanding and capabilities; support informed choice and potential contribution. Engagement must not conceal manipulative objectives, exploit vulnerability or suppress legitimate viewpoints.</w:t>
      </w:r>
    </w:p>
    <w:p>
      <w:pPr>
        <w:pStyle w:val="Heading1"/>
      </w:pPr>
      <w:r>
        <w:rPr>
          <w:color w:val="113051"/>
        </w:rPr>
        <w:t>PART III  |  HABITATS, INITIATIVES &amp; NEXT NORMAL</w:t>
      </w:r>
    </w:p>
    <w:p>
      <w:pPr>
        <w:pStyle w:val="Heading2"/>
      </w:pPr>
      <w:r>
        <w:rPr>
          <w:color w:val="113051"/>
        </w:rPr>
        <w:t>9. Habitat–initiative co-evolution</w:t>
      </w:r>
    </w:p>
    <w:p>
      <w:r>
        <w:t>A habitat is an evolving context of people, culture, relationships, institutions, capabilities and operating conditions. Habitats do more than host initiatives: they nurture existing initiatives, connect complementary contributions, inspire new initiatives from emerging needs and transform their own enabling conditions. Initiatives, in turn, produce experiences and learning that may transform their primary habitat and other dependent habitats.</w:t>
      </w:r>
    </w:p>
    <w:p>
      <w:r>
        <w:t>Initial habitat configurations include Mind/Well-being, Learning, Business and Creator/Narrative; other habitats and cross-habitat connections may emerge. Each initiative can identify a primary habitat, enabling or constraining habitats, and cross-habitat dependencies.</w:t>
      </w:r>
    </w:p>
    <w:p>
      <w:pPr>
        <w:pStyle w:val="Heading2"/>
      </w:pPr>
      <w:r>
        <w:rPr>
          <w:color w:val="113051"/>
        </w:rPr>
        <w:t>10. Three horizons of initiative intelligence</w:t>
      </w:r>
    </w:p>
    <w:tbl>
      <w:tblPr>
        <w:tblStyle w:val="LightShading-Accent1"/>
        <w:tblW w:type="auto" w:w="0"/>
        <w:jc w:val="center"/>
        <w:tblLook w:firstColumn="1" w:firstRow="1" w:lastColumn="0" w:lastRow="0" w:noHBand="0" w:noVBand="1" w:val="04A0"/>
      </w:tblPr>
      <w:tblGrid>
        <w:gridCol w:w="3264"/>
        <w:gridCol w:w="3264"/>
        <w:gridCol w:w="3264"/>
      </w:tblGrid>
      <w:tr>
        <w:tc>
          <w:tcPr>
            <w:tcW w:type="dxa" w:w="3264"/>
            <w:vAlign w:val="center"/>
          </w:tcPr>
          <w:p>
            <w:r>
              <w:t>Horizon</w:t>
            </w:r>
          </w:p>
        </w:tc>
        <w:tc>
          <w:tcPr>
            <w:tcW w:type="dxa" w:w="3264"/>
            <w:vAlign w:val="center"/>
          </w:tcPr>
          <w:p>
            <w:r>
              <w:t>Key inquiry</w:t>
            </w:r>
          </w:p>
        </w:tc>
        <w:tc>
          <w:tcPr>
            <w:tcW w:type="dxa" w:w="3264"/>
            <w:vAlign w:val="center"/>
          </w:tcPr>
          <w:p>
            <w:r>
              <w:t>Intended result</w:t>
            </w:r>
          </w:p>
        </w:tc>
      </w:tr>
      <w:tr>
        <w:tc>
          <w:tcPr>
            <w:tcW w:type="dxa" w:w="3264"/>
            <w:vAlign w:val="center"/>
          </w:tcPr>
          <w:p>
            <w:r>
              <w:t>1. Solution / Co-innovation</w:t>
            </w:r>
          </w:p>
        </w:tc>
        <w:tc>
          <w:tcPr>
            <w:tcW w:type="dxa" w:w="3264"/>
            <w:vAlign w:val="center"/>
          </w:tcPr>
          <w:p>
            <w:r>
              <w:t>How can the proposed solution be improved with known knowledge, complementary partners and reduced duplication?</w:t>
            </w:r>
          </w:p>
        </w:tc>
        <w:tc>
          <w:tcPr>
            <w:tcW w:type="dxa" w:w="3264"/>
            <w:vAlign w:val="center"/>
          </w:tcPr>
          <w:p>
            <w:r>
              <w:t>More effective solutions.</w:t>
            </w:r>
          </w:p>
        </w:tc>
      </w:tr>
      <w:tr>
        <w:tc>
          <w:tcPr>
            <w:tcW w:type="dxa" w:w="3264"/>
            <w:vAlign w:val="center"/>
          </w:tcPr>
          <w:p>
            <w:r>
              <w:t>2. Need &amp; Systems / Reimagination</w:t>
            </w:r>
          </w:p>
        </w:tc>
        <w:tc>
          <w:tcPr>
            <w:tcW w:type="dxa" w:w="3264"/>
            <w:vAlign w:val="center"/>
          </w:tcPr>
          <w:p>
            <w:r>
              <w:t>Are we solving the right problem? Which root causes, latent needs, alternatives and habitat dependencies matter?</w:t>
            </w:r>
          </w:p>
        </w:tc>
        <w:tc>
          <w:tcPr>
            <w:tcW w:type="dxa" w:w="3264"/>
            <w:vAlign w:val="center"/>
          </w:tcPr>
          <w:p>
            <w:r>
              <w:t>A resilient innovation stack and systemic understanding.</w:t>
            </w:r>
          </w:p>
        </w:tc>
      </w:tr>
      <w:tr>
        <w:tc>
          <w:tcPr>
            <w:tcW w:type="dxa" w:w="3264"/>
            <w:vAlign w:val="center"/>
          </w:tcPr>
          <w:p>
            <w:r>
              <w:t>3. Next Normal / Visionary Transformation</w:t>
            </w:r>
          </w:p>
        </w:tc>
        <w:tc>
          <w:tcPr>
            <w:tcW w:type="dxa" w:w="3264"/>
            <w:vAlign w:val="center"/>
          </w:tcPr>
          <w:p>
            <w:r>
              <w:t>What future disruptions, unarticulated needs and possible desirable futures change the context?</w:t>
            </w:r>
          </w:p>
        </w:tc>
        <w:tc>
          <w:tcPr>
            <w:tcW w:type="dxa" w:w="3264"/>
            <w:vAlign w:val="center"/>
          </w:tcPr>
          <w:p>
            <w:r>
              <w:t>Preparedness and a credible contribution to future-shaping transformation.</w:t>
            </w:r>
          </w:p>
        </w:tc>
      </w:tr>
    </w:tbl>
    <w:p/>
    <w:p>
      <w:r>
        <w:t>Each horizon may be considered at initiative, habitat and wider ecosystem levels. This is a reusable inquiry method, not nine new governance procedures or three new Kernel functions.</w:t>
      </w:r>
    </w:p>
    <w:p>
      <w:pPr>
        <w:pStyle w:val="Heading2"/>
      </w:pPr>
      <w:r>
        <w:rPr>
          <w:color w:val="113051"/>
        </w:rPr>
        <w:t>11. Kernel stress-test for each initiative</w:t>
      </w:r>
    </w:p>
    <w:tbl>
      <w:tblPr>
        <w:tblStyle w:val="LightShading-Accent1"/>
        <w:tblW w:type="auto" w:w="0"/>
        <w:jc w:val="center"/>
        <w:tblLook w:firstColumn="1" w:firstRow="1" w:lastColumn="0" w:lastRow="0" w:noHBand="0" w:noVBand="1" w:val="04A0"/>
      </w:tblPr>
      <w:tblGrid>
        <w:gridCol w:w="4896"/>
        <w:gridCol w:w="4896"/>
      </w:tblGrid>
      <w:tr>
        <w:tc>
          <w:tcPr>
            <w:tcW w:type="dxa" w:w="4896"/>
            <w:vAlign w:val="center"/>
          </w:tcPr>
          <w:p>
            <w:r>
              <w:t>Existing Kernel function</w:t>
            </w:r>
          </w:p>
        </w:tc>
        <w:tc>
          <w:tcPr>
            <w:tcW w:type="dxa" w:w="4896"/>
            <w:vAlign w:val="center"/>
          </w:tcPr>
          <w:p>
            <w:r>
              <w:t>Guiding stress-test</w:t>
            </w:r>
          </w:p>
        </w:tc>
      </w:tr>
      <w:tr>
        <w:tc>
          <w:tcPr>
            <w:tcW w:type="dxa" w:w="4896"/>
            <w:vAlign w:val="center"/>
          </w:tcPr>
          <w:p>
            <w:r>
              <w:t>Context</w:t>
            </w:r>
          </w:p>
        </w:tc>
        <w:tc>
          <w:tcPr>
            <w:tcW w:type="dxa" w:w="4896"/>
            <w:vAlign w:val="center"/>
          </w:tcPr>
          <w:p>
            <w:r>
              <w:t>Whose needs, histories, conditions, relationships and dependencies are understood?</w:t>
            </w:r>
          </w:p>
        </w:tc>
      </w:tr>
      <w:tr>
        <w:tc>
          <w:tcPr>
            <w:tcW w:type="dxa" w:w="4896"/>
            <w:vAlign w:val="center"/>
          </w:tcPr>
          <w:p>
            <w:r>
              <w:t>Sensemaking</w:t>
            </w:r>
          </w:p>
        </w:tc>
        <w:tc>
          <w:tcPr>
            <w:tcW w:type="dxa" w:w="4896"/>
            <w:vAlign w:val="center"/>
          </w:tcPr>
          <w:p>
            <w:r>
              <w:t>Which claims are facts, reports, hypotheses, interpretations or uncertainties?</w:t>
            </w:r>
          </w:p>
        </w:tc>
      </w:tr>
      <w:tr>
        <w:tc>
          <w:tcPr>
            <w:tcW w:type="dxa" w:w="4896"/>
            <w:vAlign w:val="center"/>
          </w:tcPr>
          <w:p>
            <w:r>
              <w:t>Evolution</w:t>
            </w:r>
          </w:p>
        </w:tc>
        <w:tc>
          <w:tcPr>
            <w:tcW w:type="dxa" w:w="4896"/>
            <w:vAlign w:val="center"/>
          </w:tcPr>
          <w:p>
            <w:r>
              <w:t>What minds, capabilities, relationships and institutional conditions could change?</w:t>
            </w:r>
          </w:p>
        </w:tc>
      </w:tr>
      <w:tr>
        <w:tc>
          <w:tcPr>
            <w:tcW w:type="dxa" w:w="4896"/>
            <w:vAlign w:val="center"/>
          </w:tcPr>
          <w:p>
            <w:r>
              <w:t>Navigation</w:t>
            </w:r>
          </w:p>
        </w:tc>
        <w:tc>
          <w:tcPr>
            <w:tcW w:type="dxa" w:w="4896"/>
            <w:vAlign w:val="center"/>
          </w:tcPr>
          <w:p>
            <w:r>
              <w:t>What alternatives, sequences, safeguards and future options exist?</w:t>
            </w:r>
          </w:p>
        </w:tc>
      </w:tr>
      <w:tr>
        <w:tc>
          <w:tcPr>
            <w:tcW w:type="dxa" w:w="4896"/>
            <w:vAlign w:val="center"/>
          </w:tcPr>
          <w:p>
            <w:r>
              <w:t>Orchestration</w:t>
            </w:r>
          </w:p>
        </w:tc>
        <w:tc>
          <w:tcPr>
            <w:tcW w:type="dxa" w:w="4896"/>
            <w:vAlign w:val="center"/>
          </w:tcPr>
          <w:p>
            <w:r>
              <w:t>Which trusted internal and external collaborators can create complementary value?</w:t>
            </w:r>
          </w:p>
        </w:tc>
      </w:tr>
      <w:tr>
        <w:tc>
          <w:tcPr>
            <w:tcW w:type="dxa" w:w="4896"/>
            <w:vAlign w:val="center"/>
          </w:tcPr>
          <w:p>
            <w:r>
              <w:t>Reflection &amp; Learning</w:t>
            </w:r>
          </w:p>
        </w:tc>
        <w:tc>
          <w:tcPr>
            <w:tcW w:type="dxa" w:w="4896"/>
            <w:vAlign w:val="center"/>
          </w:tcPr>
          <w:p>
            <w:r>
              <w:t>How will results, harms, failures and learning be assessed and shared?</w:t>
            </w:r>
          </w:p>
        </w:tc>
      </w:tr>
    </w:tbl>
    <w:p/>
    <w:p>
      <w:r>
        <w:t>The existing Governance Plane remains cross-cutting. Agentic actions require a defined context, purpose, authority, permissions, accountable party and escalation path; consequential actions may require human approval.</w:t>
      </w:r>
    </w:p>
    <w:p>
      <w:pPr>
        <w:pStyle w:val="Heading2"/>
      </w:pPr>
      <w:r>
        <w:rPr>
          <w:color w:val="113051"/>
        </w:rPr>
        <w:t>12. Illustrative habitat–initiative pathway: rooftop solar</w:t>
      </w:r>
    </w:p>
    <w:p>
      <w:r>
        <w:t>A rooftop solar initiative may begin with installation and service improvements (solution horizon); expand to household affordability, reliability, financing, trust, maintenance and local capabilities (need and systems horizon); and contribute to prosumer communities, distributed energy resilience and future grid relationships (Next Normal horizon). Business, Learning, community and regulatory contexts may need to evolve reciprocally. This is an illustration, not a claim of validated impact.</w:t>
      </w:r>
    </w:p>
    <w:p>
      <w:pPr>
        <w:pStyle w:val="Heading1"/>
      </w:pPr>
      <w:r>
        <w:rPr>
          <w:color w:val="113051"/>
        </w:rPr>
        <w:t>PART IV  |  LIVING ATLAS OF TRANSFORMATIONS</w:t>
      </w:r>
    </w:p>
    <w:p>
      <w:pPr>
        <w:pStyle w:val="Heading2"/>
      </w:pPr>
      <w:r>
        <w:rPr>
          <w:color w:val="113051"/>
        </w:rPr>
        <w:t>13. Expandable examples</w:t>
      </w:r>
    </w:p>
    <w:tbl>
      <w:tblPr>
        <w:tblStyle w:val="LightShading-Accent1"/>
        <w:tblW w:type="auto" w:w="0"/>
        <w:jc w:val="center"/>
        <w:tblLook w:firstColumn="1" w:firstRow="1" w:lastColumn="0" w:lastRow="0" w:noHBand="0" w:noVBand="1" w:val="04A0"/>
      </w:tblPr>
      <w:tblGrid>
        <w:gridCol w:w="4896"/>
        <w:gridCol w:w="4896"/>
      </w:tblGrid>
      <w:tr>
        <w:tc>
          <w:tcPr>
            <w:tcW w:type="dxa" w:w="4896"/>
            <w:vAlign w:val="center"/>
          </w:tcPr>
          <w:p>
            <w:r>
              <w:t>Dimension</w:t>
            </w:r>
          </w:p>
        </w:tc>
        <w:tc>
          <w:tcPr>
            <w:tcW w:type="dxa" w:w="4896"/>
            <w:vAlign w:val="center"/>
          </w:tcPr>
          <w:p>
            <w:r>
              <w:t>Illustrative shift</w:t>
            </w:r>
          </w:p>
        </w:tc>
      </w:tr>
      <w:tr>
        <w:tc>
          <w:tcPr>
            <w:tcW w:type="dxa" w:w="4896"/>
            <w:vAlign w:val="center"/>
          </w:tcPr>
          <w:p>
            <w:r>
              <w:t>Personal agency</w:t>
            </w:r>
          </w:p>
        </w:tc>
        <w:tc>
          <w:tcPr>
            <w:tcW w:type="dxa" w:w="4896"/>
            <w:vAlign w:val="center"/>
          </w:tcPr>
          <w:p>
            <w:r>
              <w:t>From helplessness or dependence toward informed agency and responsible interdependence.</w:t>
            </w:r>
          </w:p>
        </w:tc>
      </w:tr>
      <w:tr>
        <w:tc>
          <w:tcPr>
            <w:tcW w:type="dxa" w:w="4896"/>
            <w:vAlign w:val="center"/>
          </w:tcPr>
          <w:p>
            <w:r>
              <w:t>Emotional intelligence</w:t>
            </w:r>
          </w:p>
        </w:tc>
        <w:tc>
          <w:tcPr>
            <w:tcW w:type="dxa" w:w="4896"/>
            <w:vAlign w:val="center"/>
          </w:tcPr>
          <w:p>
            <w:r>
              <w:t>From impulsive reaction or conformity toward compassionate discernment and constructive influence.</w:t>
            </w:r>
          </w:p>
        </w:tc>
      </w:tr>
      <w:tr>
        <w:tc>
          <w:tcPr>
            <w:tcW w:type="dxa" w:w="4896"/>
            <w:vAlign w:val="center"/>
          </w:tcPr>
          <w:p>
            <w:r>
              <w:t>Learning</w:t>
            </w:r>
          </w:p>
        </w:tc>
        <w:tc>
          <w:tcPr>
            <w:tcW w:type="dxa" w:w="4896"/>
            <w:vAlign w:val="center"/>
          </w:tcPr>
          <w:p>
            <w:r>
              <w:t>From passive information intake toward reflective learning and wisdom.</w:t>
            </w:r>
          </w:p>
        </w:tc>
      </w:tr>
      <w:tr>
        <w:tc>
          <w:tcPr>
            <w:tcW w:type="dxa" w:w="4896"/>
            <w:vAlign w:val="center"/>
          </w:tcPr>
          <w:p>
            <w:r>
              <w:t>Leadership</w:t>
            </w:r>
          </w:p>
        </w:tc>
        <w:tc>
          <w:tcPr>
            <w:tcW w:type="dxa" w:w="4896"/>
            <w:vAlign w:val="center"/>
          </w:tcPr>
          <w:p>
            <w:r>
              <w:t>From control and personal recognition toward empowerment, stewardship and succession.</w:t>
            </w:r>
          </w:p>
        </w:tc>
      </w:tr>
      <w:tr>
        <w:tc>
          <w:tcPr>
            <w:tcW w:type="dxa" w:w="4896"/>
            <w:vAlign w:val="center"/>
          </w:tcPr>
          <w:p>
            <w:r>
              <w:t>Narratives</w:t>
            </w:r>
          </w:p>
        </w:tc>
        <w:tc>
          <w:tcPr>
            <w:tcW w:type="dxa" w:w="4896"/>
            <w:vAlign w:val="center"/>
          </w:tcPr>
          <w:p>
            <w:r>
              <w:t>From attention alone toward meaningful expression and cultural reflection.</w:t>
            </w:r>
          </w:p>
        </w:tc>
      </w:tr>
      <w:tr>
        <w:tc>
          <w:tcPr>
            <w:tcW w:type="dxa" w:w="4896"/>
            <w:vAlign w:val="center"/>
          </w:tcPr>
          <w:p>
            <w:r>
              <w:t>Business</w:t>
            </w:r>
          </w:p>
        </w:tc>
        <w:tc>
          <w:tcPr>
            <w:tcW w:type="dxa" w:w="4896"/>
            <w:vAlign w:val="center"/>
          </w:tcPr>
          <w:p>
            <w:r>
              <w:t>From isolated transactions toward purpose-aligned, regenerative shared value.</w:t>
            </w:r>
          </w:p>
        </w:tc>
      </w:tr>
      <w:tr>
        <w:tc>
          <w:tcPr>
            <w:tcW w:type="dxa" w:w="4896"/>
            <w:vAlign w:val="center"/>
          </w:tcPr>
          <w:p>
            <w:r>
              <w:t>Timeless</w:t>
            </w:r>
          </w:p>
        </w:tc>
        <w:tc>
          <w:tcPr>
            <w:tcW w:type="dxa" w:w="4896"/>
            <w:vAlign w:val="center"/>
          </w:tcPr>
          <w:p>
            <w:r>
              <w:t>From unexamined instinct to reflective understanding while preserving love, curiosity and play.</w:t>
            </w:r>
          </w:p>
        </w:tc>
      </w:tr>
      <w:tr>
        <w:tc>
          <w:tcPr>
            <w:tcW w:type="dxa" w:w="4896"/>
            <w:vAlign w:val="center"/>
          </w:tcPr>
          <w:p>
            <w:r>
              <w:t>Visionary</w:t>
            </w:r>
          </w:p>
        </w:tc>
        <w:tc>
          <w:tcPr>
            <w:tcW w:type="dxa" w:w="4896"/>
            <w:vAlign w:val="center"/>
          </w:tcPr>
          <w:p>
            <w:r>
              <w:t>From reactive adaptation toward recognition of unarticulated needs and future preparedness.</w:t>
            </w:r>
          </w:p>
        </w:tc>
      </w:tr>
    </w:tbl>
    <w:p/>
    <w:p>
      <w:r>
        <w:t>Atlas entries should specify context, affected participants/habitats, transformative mechanism, intended outcomes, agency and safeguards, and evidence status (Illustrative / Exploratory / Pilot-tested / Validated in context). The atlas may grow without silently changing enduring manifesto commitments.</w:t>
      </w:r>
    </w:p>
    <w:p>
      <w:pPr>
        <w:pStyle w:val="Heading2"/>
      </w:pPr>
      <w:r>
        <w:rPr>
          <w:color w:val="113051"/>
        </w:rPr>
        <w:t>13A. Cross-cultural timeless wisdom in the Living Atlas</w:t>
      </w:r>
    </w:p>
    <w:p>
      <w:r>
        <w:t>The Atlas may explore Indian philosophical traditions (including Bhagavad Gita, Yoga, Buddhist and Jain thought), Greek and Roman Stoicism, Chinese Confucian and Daoist traditions, African relational philosophies including Ubuntu, and Indigenous ecological and intergenerational knowledge. These are illustrative inquiry areas, not claims of equivalence, universal applicability or automatic scientific validation.</w:t>
      </w:r>
    </w:p>
    <w:p>
      <w:r>
        <w:t>Each entry should record cultural origin and attribution; enduring insight; context and interpretation; transformative pathway; possible contemporary narrative, initiative or service; evidence and limitations; and regenerative potential. Respect living communities, permissions, cultural rights, pluralism and the difference between philosophical insight and empirically tested intervention.</w:t>
      </w:r>
    </w:p>
    <w:p>
      <w:pPr>
        <w:pStyle w:val="Heading1"/>
      </w:pPr>
      <w:r>
        <w:rPr>
          <w:color w:val="113051"/>
        </w:rPr>
        <w:t>PART V  |  IMPLEMENTATION BOUNDARIES &amp; REVIEW</w:t>
      </w:r>
    </w:p>
    <w:p>
      <w:pPr>
        <w:pStyle w:val="Heading2"/>
      </w:pPr>
      <w:r>
        <w:rPr>
          <w:color w:val="113051"/>
        </w:rPr>
        <w:t>14. Minimal, proportionate governance</w:t>
      </w:r>
    </w:p>
    <w:p>
      <w:pPr>
        <w:pStyle w:val="ListBullet"/>
      </w:pPr>
      <w:r>
        <w:t>Shared manifesto: common purpose and participation commitments.</w:t>
      </w:r>
    </w:p>
    <w:p>
      <w:pPr>
        <w:pStyle w:val="ListBullet"/>
      </w:pPr>
      <w:r>
        <w:t>Participation charter or mandate: admission, permissions, boundaries, confidentiality, IP, dispute/exit provisions and accountable parties.</w:t>
      </w:r>
    </w:p>
    <w:p>
      <w:pPr>
        <w:pStyle w:val="ListBullet"/>
      </w:pPr>
      <w:r>
        <w:t>Initiative-specific agreements: only where transactions, sensitive data, services or consequential agentic actions require them.</w:t>
      </w:r>
    </w:p>
    <w:p>
      <w:pPr>
        <w:pStyle w:val="ListBullet"/>
      </w:pPr>
      <w:r>
        <w:t>Independent operators retain responsibility for their initiatives; Jeevansarthi retains responsibility for the technology and services it controls.</w:t>
      </w:r>
    </w:p>
    <w:p>
      <w:pPr>
        <w:pStyle w:val="Heading2"/>
      </w:pPr>
      <w:r>
        <w:rPr>
          <w:color w:val="113051"/>
        </w:rPr>
        <w:t>15. Compatibility with ratified architecture</w:t>
      </w:r>
    </w:p>
    <w:p>
      <w:r>
        <w:t>This baseline proposes a simplified operational expression of existing commitments. It does not amend the previously ratified three-layer governance model, eight constitutional principles, five capability families, six Kernel functions or frozen canonical ontology. Any substantive inconsistency must be logged for explicit reconciliation and approval rather than silently resolved.</w:t>
      </w:r>
    </w:p>
    <w:p>
      <w:pPr>
        <w:pStyle w:val="Heading2"/>
      </w:pPr>
      <w:r>
        <w:rPr>
          <w:color w:val="113051"/>
        </w:rPr>
        <w:t>16. Review questions and open decisions</w:t>
      </w:r>
    </w:p>
    <w:p>
      <w:pPr>
        <w:pStyle w:val="ListBullet"/>
      </w:pPr>
      <w:r>
        <w:t>Future inquiry: Which concise public wording communicates the MTP most clearly across cultures and participant groups?</w:t>
      </w:r>
    </w:p>
    <w:p>
      <w:pPr>
        <w:pStyle w:val="ListBullet"/>
      </w:pPr>
      <w:r>
        <w:t>What minimum evidence is needed to admit an exploratory transformative initiative?</w:t>
      </w:r>
    </w:p>
    <w:p>
      <w:pPr>
        <w:pStyle w:val="ListBullet"/>
      </w:pPr>
      <w:r>
        <w:t>What constitutes credible manifesto commitment and fair, contestable suspension or exit?</w:t>
      </w:r>
    </w:p>
    <w:p>
      <w:pPr>
        <w:pStyle w:val="ListBullet"/>
      </w:pPr>
      <w:r>
        <w:t>Which habitat dependencies should be recorded at onboarding versus discovered through ongoing inquiry?</w:t>
      </w:r>
    </w:p>
    <w:p>
      <w:pPr>
        <w:pStyle w:val="ListBullet"/>
      </w:pPr>
      <w:r>
        <w:t>What levels of agentic action may be delegated, and which require explicit human authorisation?</w:t>
      </w:r>
    </w:p>
    <w:p>
      <w:pPr>
        <w:pStyle w:val="ListBullet"/>
      </w:pPr>
      <w:r>
        <w:t>Who stewards the manifesto and Living Atlas over time, including licensing, provenance and succession?</w:t>
      </w:r>
    </w:p>
    <w:p>
      <w:pPr>
        <w:pStyle w:val="ListBullet"/>
      </w:pPr>
      <w:r>
        <w:t>How should impact-first financing and Creative Commons sharing be presented without implying unrestricted licensing or regulated financial authority?</w:t>
      </w:r>
    </w:p>
    <w:p>
      <w:pPr>
        <w:pStyle w:val="Heading2"/>
      </w:pPr>
      <w:r>
        <w:rPr>
          <w:color w:val="113051"/>
        </w:rPr>
        <w:t>17. Suggested next step</w:t>
      </w:r>
    </w:p>
    <w:p>
      <w:r>
        <w:t>Use this approved strategic baseline to proceed with Session 1: Master Records &amp; Living Intellectual Lineage. Future versions may incorporate reflections, pilots, evidence and revised implementation approaches without silently changing the ratified Constitution or ontology.</w:t>
      </w:r>
    </w:p>
    <w:p>
      <w:pPr>
        <w:pStyle w:val="Heading2"/>
      </w:pPr>
      <w:r>
        <w:rPr>
          <w:color w:val="113051"/>
        </w:rPr>
        <w:t>Document control</w:t>
      </w:r>
    </w:p>
    <w:tbl>
      <w:tblPr>
        <w:tblStyle w:val="LightShading-Accent1"/>
        <w:tblW w:type="auto" w:w="0"/>
        <w:jc w:val="center"/>
        <w:tblLook w:firstColumn="1" w:firstRow="1" w:lastColumn="0" w:lastRow="0" w:noHBand="0" w:noVBand="1" w:val="04A0"/>
      </w:tblPr>
      <w:tblGrid>
        <w:gridCol w:w="4896"/>
        <w:gridCol w:w="4896"/>
      </w:tblGrid>
      <w:tr>
        <w:tc>
          <w:tcPr>
            <w:tcW w:type="dxa" w:w="4896"/>
            <w:vAlign w:val="center"/>
          </w:tcPr>
          <w:p>
            <w:r>
              <w:t>Field</w:t>
            </w:r>
          </w:p>
        </w:tc>
        <w:tc>
          <w:tcPr>
            <w:tcW w:type="dxa" w:w="4896"/>
            <w:vAlign w:val="center"/>
          </w:tcPr>
          <w:p>
            <w:r>
              <w:t>Value</w:t>
            </w:r>
          </w:p>
        </w:tc>
      </w:tr>
      <w:tr>
        <w:tc>
          <w:tcPr>
            <w:tcW w:type="dxa" w:w="4896"/>
            <w:vAlign w:val="center"/>
          </w:tcPr>
          <w:p>
            <w:r>
              <w:t>Document ID</w:t>
            </w:r>
          </w:p>
        </w:tc>
        <w:tc>
          <w:tcPr>
            <w:tcW w:type="dxa" w:w="4896"/>
            <w:vAlign w:val="center"/>
          </w:tcPr>
          <w:p>
            <w:r>
              <w:t>JS-VIS-MAN-001</w:t>
            </w:r>
          </w:p>
        </w:tc>
      </w:tr>
      <w:tr>
        <w:tc>
          <w:tcPr>
            <w:tcW w:type="dxa" w:w="4896"/>
            <w:vAlign w:val="center"/>
          </w:tcPr>
          <w:p>
            <w:r>
              <w:t>Version</w:t>
            </w:r>
          </w:p>
        </w:tc>
        <w:tc>
          <w:tcPr>
            <w:tcW w:type="dxa" w:w="4896"/>
            <w:vAlign w:val="center"/>
          </w:tcPr>
          <w:p>
            <w:r>
              <w:t>0.1</w:t>
            </w:r>
          </w:p>
        </w:tc>
      </w:tr>
      <w:tr>
        <w:tc>
          <w:tcPr>
            <w:tcW w:type="dxa" w:w="4896"/>
            <w:vAlign w:val="center"/>
          </w:tcPr>
          <w:p>
            <w:r>
              <w:t>Date</w:t>
            </w:r>
          </w:p>
        </w:tc>
        <w:tc>
          <w:tcPr>
            <w:tcW w:type="dxa" w:w="4896"/>
            <w:vAlign w:val="center"/>
          </w:tcPr>
          <w:p>
            <w:r>
              <w:t>20 October 2026</w:t>
            </w:r>
          </w:p>
        </w:tc>
      </w:tr>
      <w:tr>
        <w:tc>
          <w:tcPr>
            <w:tcW w:type="dxa" w:w="4896"/>
            <w:vAlign w:val="center"/>
          </w:tcPr>
          <w:p>
            <w:r>
              <w:t>Status</w:t>
            </w:r>
          </w:p>
        </w:tc>
        <w:tc>
          <w:tcPr>
            <w:tcW w:type="dxa" w:w="4896"/>
            <w:vAlign w:val="center"/>
          </w:tcPr>
          <w:p>
            <w:r>
              <w:t>Proposed — for founder review; not ratified</w:t>
            </w:r>
          </w:p>
        </w:tc>
      </w:tr>
      <w:tr>
        <w:tc>
          <w:tcPr>
            <w:tcW w:type="dxa" w:w="4896"/>
            <w:vAlign w:val="center"/>
          </w:tcPr>
          <w:p>
            <w:r>
              <w:t>Scope</w:t>
            </w:r>
          </w:p>
        </w:tc>
        <w:tc>
          <w:tcPr>
            <w:tcW w:type="dxa" w:w="4896"/>
            <w:vAlign w:val="center"/>
          </w:tcPr>
          <w:p>
            <w:r>
              <w:t>Expanded Vision, Manifesto, Habitat–Initiative Co-evolution and Living Atlas foundations</w:t>
            </w:r>
          </w:p>
        </w:tc>
      </w:tr>
      <w:tr>
        <w:tc>
          <w:tcPr>
            <w:tcW w:type="dxa" w:w="4896"/>
            <w:vAlign w:val="center"/>
          </w:tcPr>
          <w:p>
            <w:r>
              <w:t>Baseline relationship</w:t>
            </w:r>
          </w:p>
        </w:tc>
        <w:tc>
          <w:tcPr>
            <w:tcW w:type="dxa" w:w="4896"/>
            <w:vAlign w:val="center"/>
          </w:tcPr>
          <w:p>
            <w:r>
              <w:t>Subject to existing ratified constitutional, semantic and Kernel architecture</w:t>
            </w:r>
          </w:p>
        </w:tc>
      </w:tr>
      <w:tr>
        <w:tc>
          <w:tcPr>
            <w:tcW w:type="dxa" w:w="4896"/>
            <w:vAlign w:val="center"/>
          </w:tcPr>
          <w:p>
            <w:r>
              <w:t>Next version</w:t>
            </w:r>
          </w:p>
        </w:tc>
        <w:tc>
          <w:tcPr>
            <w:tcW w:type="dxa" w:w="4896"/>
            <w:vAlign w:val="center"/>
          </w:tcPr>
          <w:p>
            <w:r>
              <w:t>v0.2 following founder comments and reconciliation</w:t>
            </w:r>
          </w:p>
        </w:tc>
      </w:tr>
    </w:tbl>
    <w:p/>
    <w:p>
      <w:pPr>
        <w:pStyle w:val="Heading1"/>
      </w:pPr>
      <w:r>
        <w:rPr>
          <w:color w:val="113051"/>
        </w:rPr>
        <w:t>Appendix — source pathway reconciliation</w:t>
      </w:r>
    </w:p>
    <w:p>
      <w:pPr>
        <w:pStyle w:val="ListBullet"/>
      </w:pPr>
      <w:r>
        <w:t>Source 1 — Individual-to-ecosystem evolution: MTP → Manifesto → Kernel → four habitats → interdependent habitat and ecosystem co-evolution.</w:t>
      </w:r>
    </w:p>
    <w:p>
      <w:pPr>
        <w:pStyle w:val="ListBullet"/>
      </w:pPr>
      <w:r>
        <w:t>Source 2 — Transformative initiative–habitat relationship: transformative habitat inspires, enables and learns from existing, emerging and newly inspired initiatives and habitat-wide programmes.</w:t>
      </w:r>
    </w:p>
    <w:p>
      <w:pPr>
        <w:pStyle w:val="ListBullet"/>
      </w:pPr>
      <w:r>
        <w:t>Source 3 — Regenerative co-evolution pathway: Reflect &amp; Understand → Commit &amp; Connect → Co-create &amp; Act → Learn &amp; Regenerate → Renewed Capacity for Further Co-evolution.</w:t>
      </w:r>
    </w:p>
    <w:p>
      <w:pPr>
        <w:pStyle w:val="ListBullet"/>
      </w:pPr>
      <w:r>
        <w:t>These source pathways were provided together in “Latest coevolution infogrpahics.docx” (two pages). The integrated value proposition consolidates their meanings while preserving them as distinct explanatory lenses.</w:t>
      </w:r>
    </w:p>
    <w:sectPr w:rsidR="00FC693F" w:rsidRPr="0006063C" w:rsidSect="00034616">
      <w:headerReference w:type="default" r:id="rId9"/>
      <w:footerReference w:type="default" r:id="rId10"/>
      <w:pgSz w:w="12240" w:h="15840"/>
      <w:pgMar w:top="1152"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Working draft v0.1  •  For founder review  •  20 October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JEEVANSARTHI  |  EXPANDED VISION &amp; TRANSFORMATIVE MANIFESTO v0.2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D2A41"/>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0D2A4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40"/>
      <w:contextualSpacing/>
    </w:pPr>
    <w:rPr>
      <w:rFonts w:asciiTheme="majorHAnsi" w:eastAsiaTheme="majorEastAsia" w:hAnsiTheme="majorHAnsi" w:cstheme="majorBidi" w:ascii="Aptos Display" w:hAnsi="Aptos Display"/>
      <w:b/>
      <w:color w:val="0D2A41"/>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